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A8F4" w14:textId="2B826E62" w:rsidR="002C2158" w:rsidRDefault="00C27C73">
      <w:pPr>
        <w:rPr>
          <w:b/>
          <w:bCs/>
          <w:sz w:val="28"/>
          <w:szCs w:val="28"/>
        </w:rPr>
      </w:pPr>
      <w:r w:rsidRPr="00D71CEB">
        <w:rPr>
          <w:b/>
          <w:bCs/>
          <w:sz w:val="28"/>
          <w:szCs w:val="28"/>
        </w:rPr>
        <w:t>BE</w:t>
      </w:r>
      <w:r w:rsidRPr="00D71CEB">
        <w:rPr>
          <w:sz w:val="28"/>
          <w:szCs w:val="28"/>
        </w:rPr>
        <w:t xml:space="preserve"> </w:t>
      </w:r>
      <w:r w:rsidRPr="00367FC0">
        <w:rPr>
          <w:b/>
          <w:bCs/>
          <w:sz w:val="28"/>
          <w:szCs w:val="28"/>
        </w:rPr>
        <w:t>LEGISLATIVE REQUESTS</w:t>
      </w:r>
    </w:p>
    <w:p w14:paraId="0D215D05" w14:textId="21B159F8" w:rsidR="00C27C73" w:rsidRPr="00871881" w:rsidRDefault="00852F96" w:rsidP="00871881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71881"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 w:rsidRPr="00871881">
        <w:rPr>
          <w:rFonts w:ascii="Arial" w:eastAsia="Times New Roman" w:hAnsi="Arial" w:cs="Arial"/>
          <w:color w:val="000000"/>
          <w:sz w:val="24"/>
          <w:szCs w:val="24"/>
        </w:rPr>
        <w:t xml:space="preserve">An Option to Finance the Transition to Cold Climate Heat Pumps – Adoption of a Clean Thermal Energy Standard (CTES) as part of the Renewable Energy Portfolio Standard </w:t>
      </w:r>
    </w:p>
    <w:p w14:paraId="27072E58" w14:textId="04BA587D" w:rsidR="00C27C73" w:rsidRPr="00C27C73" w:rsidRDefault="00C27C73" w:rsidP="00C27C73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5989B3D1" w14:textId="2BD53352" w:rsidR="00C27C73" w:rsidRPr="00C27C73" w:rsidRDefault="00852F96" w:rsidP="00871881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>
        <w:rPr>
          <w:rFonts w:ascii="Arial" w:eastAsia="Times New Roman" w:hAnsi="Arial" w:cs="Arial"/>
          <w:color w:val="000000"/>
          <w:sz w:val="24"/>
          <w:szCs w:val="24"/>
        </w:rPr>
        <w:t>A</w:t>
      </w:r>
      <w:proofErr w:type="gramStart"/>
      <w:r w:rsidR="00C27C73">
        <w:rPr>
          <w:rFonts w:ascii="Arial" w:eastAsia="Times New Roman" w:hAnsi="Arial" w:cs="Arial"/>
          <w:color w:val="000000"/>
          <w:sz w:val="24"/>
          <w:szCs w:val="24"/>
        </w:rPr>
        <w:t>1440 :</w:t>
      </w:r>
      <w:proofErr w:type="gramEnd"/>
      <w:r w:rsidR="00C27C7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>Add Goals to achieve net zero energy in residential units (Sec. 3, 4)</w:t>
      </w:r>
    </w:p>
    <w:p w14:paraId="12C44E91" w14:textId="77777777" w:rsidR="00C27C73" w:rsidRPr="00C27C73" w:rsidRDefault="00C27C73" w:rsidP="00852F9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27C73">
        <w:rPr>
          <w:rFonts w:ascii="Arial" w:eastAsia="Times New Roman" w:hAnsi="Arial" w:cs="Arial"/>
          <w:color w:val="000000"/>
          <w:sz w:val="24"/>
          <w:szCs w:val="24"/>
        </w:rPr>
        <w:t> 100K new and existing/retrofit residential units be electrified by 2025</w:t>
      </w:r>
    </w:p>
    <w:p w14:paraId="1006CAE6" w14:textId="77777777" w:rsidR="00C27C73" w:rsidRPr="00C27C73" w:rsidRDefault="00C27C73" w:rsidP="00852F96">
      <w:pPr>
        <w:spacing w:after="0" w:line="240" w:lineRule="auto"/>
        <w:ind w:left="360"/>
        <w:rPr>
          <w:rFonts w:ascii="Arial" w:eastAsia="Times New Roman" w:hAnsi="Arial" w:cs="Arial"/>
          <w:color w:val="000000"/>
          <w:sz w:val="24"/>
          <w:szCs w:val="24"/>
        </w:rPr>
      </w:pPr>
      <w:r w:rsidRPr="00C27C73">
        <w:rPr>
          <w:rFonts w:ascii="Arial" w:eastAsia="Times New Roman" w:hAnsi="Arial" w:cs="Arial"/>
          <w:color w:val="000000"/>
          <w:sz w:val="24"/>
          <w:szCs w:val="24"/>
        </w:rPr>
        <w:t> 800K new and existing/retrofit residential units be electrified by 2030</w:t>
      </w:r>
    </w:p>
    <w:p w14:paraId="6FA29233" w14:textId="77777777" w:rsidR="00C27C73" w:rsidRPr="00C27C73" w:rsidRDefault="00C27C73" w:rsidP="00852F96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27C73">
        <w:rPr>
          <w:rFonts w:ascii="Arial" w:eastAsia="Times New Roman" w:hAnsi="Arial" w:cs="Arial"/>
          <w:color w:val="000000"/>
          <w:sz w:val="24"/>
          <w:szCs w:val="24"/>
        </w:rPr>
        <w:t>(800K represents about 2.3 MMT of carbon emissions reduced,</w:t>
      </w:r>
    </w:p>
    <w:p w14:paraId="1886BAB0" w14:textId="4D209956" w:rsidR="00C27C73" w:rsidRPr="00C27C73" w:rsidRDefault="00C27C73" w:rsidP="00852F96">
      <w:pPr>
        <w:spacing w:after="0" w:line="240" w:lineRule="auto"/>
        <w:ind w:left="360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C27C73">
        <w:rPr>
          <w:rFonts w:ascii="Arial" w:eastAsia="Times New Roman" w:hAnsi="Arial" w:cs="Arial"/>
          <w:color w:val="000000"/>
          <w:sz w:val="24"/>
          <w:szCs w:val="24"/>
        </w:rPr>
        <w:t>about 16% of residential building sector emissions.)   </w:t>
      </w:r>
    </w:p>
    <w:p w14:paraId="00B6BE2A" w14:textId="74B0251D" w:rsidR="00C27C73" w:rsidRPr="00C27C73" w:rsidRDefault="00852F96" w:rsidP="00A107B4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71881"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 w:rsidRPr="00871881">
        <w:rPr>
          <w:rFonts w:ascii="Arial" w:eastAsia="Times New Roman" w:hAnsi="Arial" w:cs="Arial"/>
          <w:color w:val="000000"/>
          <w:sz w:val="24"/>
          <w:szCs w:val="24"/>
        </w:rPr>
        <w:t xml:space="preserve">A1440: </w:t>
      </w:r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>Specify in Sec. 3 that “Zero Energy Readiness” requires an electrical system capable of supporting electric cold climate heat pump for space and water heating, all-electric appliances, EV charging, and solar.</w:t>
      </w:r>
    </w:p>
    <w:p w14:paraId="7DA9F00D" w14:textId="77777777" w:rsidR="00C27C73" w:rsidRPr="00C27C73" w:rsidRDefault="00C27C73" w:rsidP="00852F9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p w14:paraId="7B6B15A9" w14:textId="0A3D2E6B" w:rsidR="00C27C73" w:rsidRPr="00C27C73" w:rsidRDefault="00852F96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>
        <w:rPr>
          <w:rFonts w:ascii="Arial" w:eastAsia="Times New Roman" w:hAnsi="Arial" w:cs="Arial"/>
          <w:color w:val="000000"/>
          <w:sz w:val="24"/>
          <w:szCs w:val="24"/>
        </w:rPr>
        <w:t xml:space="preserve">A1440: </w:t>
      </w:r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>Specify Zero Energy new construction have the same capabilities as stated above.</w:t>
      </w:r>
    </w:p>
    <w:p w14:paraId="562AF233" w14:textId="77777777" w:rsidR="00C27C73" w:rsidRPr="00871881" w:rsidRDefault="00C27C73" w:rsidP="00871881">
      <w:pPr>
        <w:spacing w:before="200"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71881">
        <w:rPr>
          <w:rFonts w:ascii="Arial" w:eastAsia="Times New Roman" w:hAnsi="Arial" w:cs="Arial"/>
          <w:color w:val="000000"/>
          <w:sz w:val="24"/>
          <w:szCs w:val="24"/>
        </w:rPr>
        <w:t>Currently, (Sec. 3,4</w:t>
      </w:r>
      <w:proofErr w:type="gramStart"/>
      <w:r w:rsidRPr="00871881">
        <w:rPr>
          <w:rFonts w:ascii="Arial" w:eastAsia="Times New Roman" w:hAnsi="Arial" w:cs="Arial"/>
          <w:color w:val="000000"/>
          <w:sz w:val="24"/>
          <w:szCs w:val="24"/>
        </w:rPr>
        <w:t>)  electrification</w:t>
      </w:r>
      <w:proofErr w:type="gramEnd"/>
      <w:r w:rsidRPr="00871881">
        <w:rPr>
          <w:rFonts w:ascii="Arial" w:eastAsia="Times New Roman" w:hAnsi="Arial" w:cs="Arial"/>
          <w:color w:val="000000"/>
          <w:sz w:val="24"/>
          <w:szCs w:val="24"/>
        </w:rPr>
        <w:t xml:space="preserve"> is left as an option for new construction.</w:t>
      </w:r>
    </w:p>
    <w:p w14:paraId="489A6778" w14:textId="7BE17246" w:rsidR="00C27C73" w:rsidRPr="00871881" w:rsidRDefault="00C27C73" w:rsidP="00871881">
      <w:pPr>
        <w:spacing w:before="200" w:after="0" w:line="240" w:lineRule="auto"/>
        <w:ind w:left="1440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71881">
        <w:rPr>
          <w:rFonts w:ascii="Arial" w:eastAsia="Times New Roman" w:hAnsi="Arial" w:cs="Arial"/>
          <w:color w:val="000000"/>
          <w:sz w:val="24"/>
          <w:szCs w:val="24"/>
        </w:rPr>
        <w:t>Also, in (Sec. 3,4) only new construction (residential and commercial) is specified.</w:t>
      </w:r>
    </w:p>
    <w:p w14:paraId="300AEF95" w14:textId="682A6A7A" w:rsidR="00C27C73" w:rsidRPr="00C27C73" w:rsidRDefault="00852F96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>Community/district ground source systems: </w:t>
      </w:r>
    </w:p>
    <w:p w14:paraId="2E95E997" w14:textId="77777777" w:rsidR="00C27C73" w:rsidRPr="00C27C73" w:rsidRDefault="00C27C73" w:rsidP="00852F96">
      <w:pPr>
        <w:pStyle w:val="ListParagraph"/>
        <w:numPr>
          <w:ilvl w:val="1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27C73">
        <w:rPr>
          <w:rFonts w:ascii="Arial" w:eastAsia="Times New Roman" w:hAnsi="Arial" w:cs="Arial"/>
          <w:color w:val="000000"/>
          <w:sz w:val="24"/>
          <w:szCs w:val="24"/>
        </w:rPr>
        <w:t>   Enable gas and electric utilities to own, operate, and manage</w:t>
      </w:r>
    </w:p>
    <w:p w14:paraId="482F241D" w14:textId="77777777" w:rsidR="00C27C73" w:rsidRPr="00C27C73" w:rsidRDefault="00C27C73" w:rsidP="00852F96">
      <w:pPr>
        <w:pStyle w:val="ListParagraph"/>
        <w:numPr>
          <w:ilvl w:val="1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C27C73">
        <w:rPr>
          <w:rFonts w:ascii="Arial" w:eastAsia="Times New Roman" w:hAnsi="Arial" w:cs="Arial"/>
          <w:color w:val="000000"/>
          <w:sz w:val="24"/>
          <w:szCs w:val="24"/>
        </w:rPr>
        <w:t>   Authorize communities to approve projects for community ground source heat pumps for affordable housing (similarities to “Community Solar”).  </w:t>
      </w:r>
    </w:p>
    <w:p w14:paraId="5743412E" w14:textId="3E43BF95" w:rsidR="00C27C73" w:rsidRPr="00C27C73" w:rsidRDefault="00852F96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>   Expand/accelerate net zero carbon homes incentive programs for both new and rehab construction</w:t>
      </w:r>
    </w:p>
    <w:p w14:paraId="500FF366" w14:textId="2D5B73CC" w:rsidR="00C27C73" w:rsidRPr="00852F96" w:rsidRDefault="00852F96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> Develop a transition plan to a fully electrified building sector</w:t>
      </w:r>
    </w:p>
    <w:p w14:paraId="6E7CE3D1" w14:textId="2A1E8116" w:rsidR="00C27C73" w:rsidRPr="00C27C73" w:rsidRDefault="00852F96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 xml:space="preserve">Revise the Energy Law relating to the State Energy Code to change from </w:t>
      </w:r>
      <w:proofErr w:type="gramStart"/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>7 year</w:t>
      </w:r>
      <w:proofErr w:type="gramEnd"/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 xml:space="preserve"> cost effectiveness criterion to require an assessment over a longer time horizon (10 years) with consideration for equipment lifecycle or societal effects.</w:t>
      </w:r>
    </w:p>
    <w:p w14:paraId="483CB772" w14:textId="6F4AE109" w:rsidR="00C27C73" w:rsidRPr="00C27C73" w:rsidRDefault="00852F96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>Prohibit real estate tax increases for installation of cold climate heat pumps for existing residential building footprints.</w:t>
      </w:r>
    </w:p>
    <w:p w14:paraId="5C566741" w14:textId="26A81161" w:rsidR="00C27C73" w:rsidRPr="00C27C73" w:rsidRDefault="00852F96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>End or weaken fossil fuel subsidies and increase subsidies for cold climate heat pumps.</w:t>
      </w:r>
    </w:p>
    <w:p w14:paraId="79C41674" w14:textId="18AF7A80" w:rsidR="00C27C73" w:rsidRPr="00C27C73" w:rsidRDefault="00852F96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52F96">
        <w:rPr>
          <w:rFonts w:ascii="Arial" w:eastAsia="Times New Roman" w:hAnsi="Arial" w:cs="Arial"/>
          <w:color w:val="000000"/>
          <w:sz w:val="24"/>
          <w:szCs w:val="24"/>
        </w:rPr>
        <w:t>*</w:t>
      </w:r>
      <w:r w:rsidR="00C27C73" w:rsidRPr="00C27C73">
        <w:rPr>
          <w:rFonts w:ascii="Arial" w:eastAsia="Times New Roman" w:hAnsi="Arial" w:cs="Arial"/>
          <w:color w:val="000000"/>
          <w:sz w:val="24"/>
          <w:szCs w:val="24"/>
        </w:rPr>
        <w:t>Create funding for training HVAC contractors in heat pumps and to expand the trained workforce.</w:t>
      </w:r>
    </w:p>
    <w:p w14:paraId="13E14B07" w14:textId="79032869" w:rsidR="00C27C73" w:rsidRPr="00852F96" w:rsidRDefault="00C27C73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52F96">
        <w:rPr>
          <w:rFonts w:ascii="Arial" w:eastAsia="Times New Roman" w:hAnsi="Arial" w:cs="Arial"/>
          <w:color w:val="000000"/>
          <w:sz w:val="24"/>
          <w:szCs w:val="24"/>
        </w:rPr>
        <w:t>Add Building Benchmarking requirement for multi-dwelling units of 25,000 square feet or more.   Amend the Clean Energy Act (and/or amend A2879).</w:t>
      </w:r>
    </w:p>
    <w:p w14:paraId="668437C6" w14:textId="589A8428" w:rsidR="00C27C73" w:rsidRPr="00852F96" w:rsidRDefault="00C27C73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52F96">
        <w:rPr>
          <w:rFonts w:ascii="Arial" w:eastAsia="Times New Roman" w:hAnsi="Arial" w:cs="Arial"/>
          <w:color w:val="000000"/>
          <w:sz w:val="24"/>
          <w:szCs w:val="24"/>
        </w:rPr>
        <w:t>NEEP “NJ Zero Energy Roadmap”: allow statewide voluntary stretch code</w:t>
      </w:r>
    </w:p>
    <w:p w14:paraId="11C14FD8" w14:textId="795C8FFA" w:rsidR="00C27C73" w:rsidRPr="00852F96" w:rsidRDefault="00C27C73" w:rsidP="00852F96">
      <w:pPr>
        <w:pStyle w:val="ListParagraph"/>
        <w:numPr>
          <w:ilvl w:val="0"/>
          <w:numId w:val="9"/>
        </w:numPr>
        <w:spacing w:before="200"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852F96">
        <w:rPr>
          <w:rFonts w:ascii="Arial" w:eastAsia="Times New Roman" w:hAnsi="Arial" w:cs="Arial"/>
          <w:color w:val="000000"/>
          <w:sz w:val="24"/>
          <w:szCs w:val="24"/>
        </w:rPr>
        <w:t>NEEP “NJ Zero Energy Roadmap”: Amend the UCC to allow municipalities to adopt building energy performance standards (BEPS) (Add Adopt building energy performance standards for individual houses)</w:t>
      </w:r>
    </w:p>
    <w:p w14:paraId="41397419" w14:textId="77777777" w:rsidR="00C27C73" w:rsidRPr="00C27C73" w:rsidRDefault="00C27C73" w:rsidP="00C27C73">
      <w:pPr>
        <w:spacing w:before="200"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</w:p>
    <w:sectPr w:rsidR="00C27C73" w:rsidRPr="00C27C73" w:rsidSect="00670D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A25AF"/>
    <w:multiLevelType w:val="hybridMultilevel"/>
    <w:tmpl w:val="EA7665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634883"/>
    <w:multiLevelType w:val="multilevel"/>
    <w:tmpl w:val="2A44D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A13C1"/>
    <w:multiLevelType w:val="multilevel"/>
    <w:tmpl w:val="FE861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AA2930"/>
    <w:multiLevelType w:val="multilevel"/>
    <w:tmpl w:val="C3E00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147FEC"/>
    <w:multiLevelType w:val="multilevel"/>
    <w:tmpl w:val="9698DA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6E021A2D"/>
    <w:multiLevelType w:val="multilevel"/>
    <w:tmpl w:val="DA00E5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EE912DA"/>
    <w:multiLevelType w:val="hybridMultilevel"/>
    <w:tmpl w:val="05F6FCB4"/>
    <w:lvl w:ilvl="0" w:tplc="7D42D33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623410">
    <w:abstractNumId w:val="4"/>
  </w:num>
  <w:num w:numId="2" w16cid:durableId="2060326578">
    <w:abstractNumId w:val="3"/>
  </w:num>
  <w:num w:numId="3" w16cid:durableId="88657149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 w16cid:durableId="1866750330">
    <w:abstractNumId w:val="1"/>
  </w:num>
  <w:num w:numId="5" w16cid:durableId="1436486075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 w16cid:durableId="604269372">
    <w:abstractNumId w:val="2"/>
  </w:num>
  <w:num w:numId="7" w16cid:durableId="1230338551">
    <w:abstractNumId w:val="5"/>
  </w:num>
  <w:num w:numId="8" w16cid:durableId="1638871827">
    <w:abstractNumId w:val="0"/>
  </w:num>
  <w:num w:numId="9" w16cid:durableId="14049144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27C73"/>
    <w:rsid w:val="002C2158"/>
    <w:rsid w:val="003871C4"/>
    <w:rsid w:val="00670D45"/>
    <w:rsid w:val="00852F96"/>
    <w:rsid w:val="00871881"/>
    <w:rsid w:val="00933ADA"/>
    <w:rsid w:val="00C27C73"/>
    <w:rsid w:val="00EF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9060"/>
  <w15:chartTrackingRefBased/>
  <w15:docId w15:val="{298E594F-A099-4ABD-95E3-EB48A60B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ADA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27C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52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Miller</dc:creator>
  <cp:keywords/>
  <dc:description/>
  <cp:lastModifiedBy>Steve Miller</cp:lastModifiedBy>
  <cp:revision>1</cp:revision>
  <dcterms:created xsi:type="dcterms:W3CDTF">2022-05-24T15:18:00Z</dcterms:created>
  <dcterms:modified xsi:type="dcterms:W3CDTF">2022-05-24T15:35:00Z</dcterms:modified>
</cp:coreProperties>
</file>