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9535D" w14:textId="5868B9AF" w:rsidR="008D05ED" w:rsidRPr="008D05ED" w:rsidRDefault="005C04F0" w:rsidP="008D05ED">
      <w:pPr>
        <w:pStyle w:val="Title"/>
        <w:rPr>
          <w:sz w:val="28"/>
          <w:szCs w:val="28"/>
        </w:rPr>
      </w:pPr>
      <w:sdt>
        <w:sdtPr>
          <w:rPr>
            <w:sz w:val="28"/>
            <w:szCs w:val="28"/>
          </w:rPr>
          <w:alias w:val="Title:"/>
          <w:tag w:val="Title:"/>
          <w:id w:val="726351117"/>
          <w:placeholder>
            <w:docPart w:val="102B5BD7B7C24FCB8E1FA65D5DE84DF7"/>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proofErr w:type="gramStart"/>
          <w:r w:rsidR="008D05ED" w:rsidRPr="008D05ED">
            <w:rPr>
              <w:sz w:val="28"/>
              <w:szCs w:val="28"/>
            </w:rPr>
            <w:t>DRAFT,  Portion</w:t>
          </w:r>
          <w:proofErr w:type="gramEnd"/>
          <w:r w:rsidR="008D05ED" w:rsidRPr="008D05ED">
            <w:rPr>
              <w:sz w:val="28"/>
              <w:szCs w:val="28"/>
            </w:rPr>
            <w:t xml:space="preserve"> of Middletown Energy Plan, based on Rutgers Plan of August 2010</w:t>
          </w:r>
        </w:sdtContent>
      </w:sdt>
    </w:p>
    <w:p w14:paraId="42AFFDA9" w14:textId="17D8D335" w:rsidR="008D05ED" w:rsidRDefault="008D05ED" w:rsidP="008D05ED">
      <w:pPr>
        <w:pStyle w:val="Title2"/>
      </w:pPr>
      <w:r>
        <w:t>[Middletown for Clean Energy, John Luard]</w:t>
      </w:r>
    </w:p>
    <w:p w14:paraId="74A3255E" w14:textId="77777777" w:rsidR="008D05ED" w:rsidRDefault="008D05ED" w:rsidP="008D05ED">
      <w:pPr>
        <w:spacing w:line="256" w:lineRule="auto"/>
        <w:ind w:firstLine="0"/>
        <w:rPr>
          <w:kern w:val="0"/>
        </w:rPr>
      </w:pPr>
    </w:p>
    <w:p w14:paraId="31DD7359" w14:textId="77777777" w:rsidR="008D05ED" w:rsidRDefault="008D05ED" w:rsidP="008D05ED">
      <w:pPr>
        <w:spacing w:line="237" w:lineRule="auto"/>
        <w:ind w:left="-5"/>
        <w:jc w:val="both"/>
      </w:pPr>
      <w:r>
        <w:t xml:space="preserve">The Rutgers Plan was prepared for Middletown by a technical assistance team from the Edward J. Bloustein School of Planning and Public Policy, Rutgers University, New Brunswick.  The team included faculty and staff members from: </w:t>
      </w:r>
    </w:p>
    <w:p w14:paraId="179EDBE6" w14:textId="77777777" w:rsidR="008D05ED" w:rsidRDefault="008D05ED" w:rsidP="008D05ED">
      <w:pPr>
        <w:spacing w:after="20" w:line="256" w:lineRule="auto"/>
        <w:ind w:firstLine="0"/>
      </w:pPr>
      <w:r>
        <w:t xml:space="preserve"> </w:t>
      </w:r>
    </w:p>
    <w:p w14:paraId="4466D3BB" w14:textId="77777777" w:rsidR="008D05ED" w:rsidRDefault="008D05ED" w:rsidP="008D05ED">
      <w:pPr>
        <w:numPr>
          <w:ilvl w:val="0"/>
          <w:numId w:val="1"/>
        </w:numPr>
        <w:spacing w:after="5" w:line="268" w:lineRule="auto"/>
        <w:ind w:right="63" w:hanging="360"/>
      </w:pPr>
      <w:r>
        <w:t xml:space="preserve">New Jersey Sustainable State Institute (lead) </w:t>
      </w:r>
    </w:p>
    <w:p w14:paraId="37D58A38" w14:textId="77777777" w:rsidR="008D05ED" w:rsidRDefault="008D05ED" w:rsidP="008D05ED">
      <w:pPr>
        <w:numPr>
          <w:ilvl w:val="0"/>
          <w:numId w:val="1"/>
        </w:numPr>
        <w:spacing w:after="5" w:line="268" w:lineRule="auto"/>
        <w:ind w:right="63" w:hanging="360"/>
      </w:pPr>
      <w:r>
        <w:t xml:space="preserve">Center for Energy, Economic, &amp; Environmental Policy </w:t>
      </w:r>
    </w:p>
    <w:p w14:paraId="162465A8" w14:textId="77777777" w:rsidR="008D05ED" w:rsidRDefault="008D05ED" w:rsidP="008D05ED">
      <w:pPr>
        <w:numPr>
          <w:ilvl w:val="0"/>
          <w:numId w:val="1"/>
        </w:numPr>
        <w:spacing w:after="5" w:line="268" w:lineRule="auto"/>
        <w:ind w:right="63" w:hanging="360"/>
      </w:pPr>
      <w:r>
        <w:t xml:space="preserve">Center for Planning Practice </w:t>
      </w:r>
    </w:p>
    <w:p w14:paraId="0D5C934F" w14:textId="77777777" w:rsidR="008D05ED" w:rsidRDefault="008D05ED" w:rsidP="008D05ED">
      <w:pPr>
        <w:numPr>
          <w:ilvl w:val="0"/>
          <w:numId w:val="1"/>
        </w:numPr>
        <w:spacing w:after="5" w:line="268" w:lineRule="auto"/>
        <w:ind w:right="63" w:hanging="360"/>
      </w:pPr>
      <w:r>
        <w:t xml:space="preserve">Rutgers Center for Green Building </w:t>
      </w:r>
    </w:p>
    <w:p w14:paraId="338BF6CC" w14:textId="77777777" w:rsidR="008D05ED" w:rsidRDefault="008D05ED" w:rsidP="008D05ED">
      <w:pPr>
        <w:numPr>
          <w:ilvl w:val="0"/>
          <w:numId w:val="1"/>
        </w:numPr>
        <w:spacing w:after="5" w:line="268" w:lineRule="auto"/>
        <w:ind w:right="63" w:hanging="360"/>
      </w:pPr>
      <w:r>
        <w:t xml:space="preserve">Voorhees Transportation Center </w:t>
      </w:r>
    </w:p>
    <w:p w14:paraId="1B87B353" w14:textId="77777777" w:rsidR="008D05ED" w:rsidRDefault="008D05ED" w:rsidP="008D05ED">
      <w:pPr>
        <w:spacing w:line="256" w:lineRule="auto"/>
        <w:ind w:left="720" w:firstLine="0"/>
      </w:pPr>
      <w:r>
        <w:t xml:space="preserve"> </w:t>
      </w:r>
    </w:p>
    <w:p w14:paraId="3FF72802" w14:textId="77777777" w:rsidR="008D05ED" w:rsidRDefault="008D05ED" w:rsidP="008D05ED">
      <w:pPr>
        <w:ind w:left="-5" w:right="63"/>
      </w:pPr>
      <w:r>
        <w:t xml:space="preserve">In addition, the Bloustein team included an external planning consultant, Sam Casella, FAICP/PP, who specializes in energy planning and implementation. </w:t>
      </w:r>
    </w:p>
    <w:p w14:paraId="07C698B1" w14:textId="77777777" w:rsidR="008D05ED" w:rsidRDefault="008D05ED" w:rsidP="008D05ED">
      <w:pPr>
        <w:spacing w:line="256" w:lineRule="auto"/>
        <w:ind w:firstLine="0"/>
      </w:pPr>
      <w:r>
        <w:t xml:space="preserve"> </w:t>
      </w:r>
    </w:p>
    <w:p w14:paraId="68DC681C" w14:textId="77777777" w:rsidR="008D05ED" w:rsidRDefault="008D05ED" w:rsidP="008D05ED">
      <w:pPr>
        <w:ind w:left="-5" w:right="63"/>
      </w:pPr>
      <w:r>
        <w:t xml:space="preserve">The purposes of the Rutgers Plan were: </w:t>
      </w:r>
    </w:p>
    <w:p w14:paraId="6A92E1A5" w14:textId="77777777" w:rsidR="008D05ED" w:rsidRDefault="008D05ED" w:rsidP="008D05ED">
      <w:pPr>
        <w:spacing w:after="20" w:line="256" w:lineRule="auto"/>
        <w:ind w:firstLine="0"/>
      </w:pPr>
      <w:r>
        <w:t xml:space="preserve"> </w:t>
      </w:r>
    </w:p>
    <w:p w14:paraId="1FE7713A" w14:textId="77777777" w:rsidR="008D05ED" w:rsidRDefault="008D05ED" w:rsidP="008D05ED">
      <w:pPr>
        <w:numPr>
          <w:ilvl w:val="0"/>
          <w:numId w:val="1"/>
        </w:numPr>
        <w:spacing w:after="5" w:line="268" w:lineRule="auto"/>
        <w:ind w:right="63" w:hanging="360"/>
      </w:pPr>
      <w:r>
        <w:t xml:space="preserve">Satisfy U.S. Department of Energy requirements for receipt of Energy Efficiency and </w:t>
      </w:r>
      <w:proofErr w:type="gramStart"/>
      <w:r>
        <w:t>Conservation  Block</w:t>
      </w:r>
      <w:proofErr w:type="gramEnd"/>
      <w:r>
        <w:t xml:space="preserve"> Grant  (EECBG) monies;  </w:t>
      </w:r>
    </w:p>
    <w:p w14:paraId="0CEF8255" w14:textId="77777777" w:rsidR="008D05ED" w:rsidRDefault="008D05ED" w:rsidP="008D05ED">
      <w:pPr>
        <w:numPr>
          <w:ilvl w:val="0"/>
          <w:numId w:val="1"/>
        </w:numPr>
        <w:spacing w:after="5" w:line="268" w:lineRule="auto"/>
        <w:ind w:right="63" w:hanging="360"/>
      </w:pPr>
      <w:r>
        <w:t xml:space="preserve">Reduce fossil fuel emissions; </w:t>
      </w:r>
    </w:p>
    <w:p w14:paraId="5B67BC90" w14:textId="77777777" w:rsidR="008D05ED" w:rsidRDefault="008D05ED" w:rsidP="008D05ED">
      <w:pPr>
        <w:numPr>
          <w:ilvl w:val="0"/>
          <w:numId w:val="1"/>
        </w:numPr>
        <w:spacing w:after="5" w:line="268" w:lineRule="auto"/>
        <w:ind w:right="63" w:hanging="360"/>
      </w:pPr>
      <w:r>
        <w:t xml:space="preserve">Reduce total energy use within Middletown;  </w:t>
      </w:r>
    </w:p>
    <w:p w14:paraId="35B9B74E" w14:textId="77777777" w:rsidR="008D05ED" w:rsidRDefault="008D05ED" w:rsidP="008D05ED">
      <w:pPr>
        <w:numPr>
          <w:ilvl w:val="0"/>
          <w:numId w:val="1"/>
        </w:numPr>
        <w:spacing w:after="5" w:line="268" w:lineRule="auto"/>
        <w:ind w:right="63" w:hanging="360"/>
      </w:pPr>
      <w:r>
        <w:t xml:space="preserve">Improve energy efficiency in the transportation, building, and other appropriate sectors; and </w:t>
      </w:r>
    </w:p>
    <w:p w14:paraId="30BA00C1" w14:textId="742B6461" w:rsidR="008D05ED" w:rsidRDefault="008D05ED" w:rsidP="008D05ED">
      <w:pPr>
        <w:numPr>
          <w:ilvl w:val="0"/>
          <w:numId w:val="1"/>
        </w:numPr>
        <w:spacing w:after="5" w:line="268" w:lineRule="auto"/>
        <w:ind w:right="63" w:hanging="360"/>
      </w:pPr>
      <w:r>
        <w:t xml:space="preserve">Create and retain jobs </w:t>
      </w:r>
    </w:p>
    <w:p w14:paraId="3FB6D78F" w14:textId="647863FC" w:rsidR="008D05ED" w:rsidRDefault="008D05ED">
      <w:pPr>
        <w:spacing w:after="160" w:line="259" w:lineRule="auto"/>
        <w:ind w:firstLine="0"/>
      </w:pPr>
      <w:r>
        <w:br w:type="page"/>
      </w:r>
    </w:p>
    <w:p w14:paraId="5384B540" w14:textId="77777777" w:rsidR="003578CD" w:rsidRDefault="003578CD" w:rsidP="008D05ED">
      <w:pPr>
        <w:spacing w:after="5" w:line="268" w:lineRule="auto"/>
        <w:ind w:left="720" w:right="63" w:firstLine="0"/>
        <w:rPr>
          <w:i/>
          <w:iCs/>
        </w:rPr>
      </w:pPr>
      <w:r>
        <w:rPr>
          <w:i/>
          <w:iCs/>
        </w:rPr>
        <w:lastRenderedPageBreak/>
        <w:t>Text in italics represent comments from John Luard to Middletown for Clean Energy, a group of volunteers.</w:t>
      </w:r>
    </w:p>
    <w:p w14:paraId="6154510E" w14:textId="77777777" w:rsidR="003578CD" w:rsidRDefault="003578CD" w:rsidP="008D05ED">
      <w:pPr>
        <w:spacing w:after="5" w:line="268" w:lineRule="auto"/>
        <w:ind w:left="720" w:right="63" w:firstLine="0"/>
        <w:rPr>
          <w:i/>
          <w:iCs/>
        </w:rPr>
      </w:pPr>
    </w:p>
    <w:p w14:paraId="79A0AEFB" w14:textId="1C7F51BF" w:rsidR="008D05ED" w:rsidRDefault="003578CD" w:rsidP="008D05ED">
      <w:pPr>
        <w:spacing w:after="5" w:line="268" w:lineRule="auto"/>
        <w:ind w:left="720" w:right="63" w:firstLine="0"/>
        <w:rPr>
          <w:i/>
          <w:iCs/>
        </w:rPr>
      </w:pPr>
      <w:r>
        <w:rPr>
          <w:i/>
          <w:iCs/>
        </w:rPr>
        <w:t>Items 2.1 through 5 of the Rutgers Plan could probably be re-written or edited.  I have not done that to save time</w:t>
      </w:r>
      <w:r w:rsidR="00403418">
        <w:rPr>
          <w:i/>
          <w:iCs/>
        </w:rPr>
        <w:t xml:space="preserve">.  I think we are </w:t>
      </w:r>
      <w:r>
        <w:rPr>
          <w:i/>
          <w:iCs/>
        </w:rPr>
        <w:t>at the beginning</w:t>
      </w:r>
      <w:r w:rsidR="00403418">
        <w:rPr>
          <w:i/>
          <w:iCs/>
        </w:rPr>
        <w:t xml:space="preserve">, living with </w:t>
      </w:r>
      <w:r>
        <w:rPr>
          <w:i/>
          <w:iCs/>
        </w:rPr>
        <w:t xml:space="preserve">hopes </w:t>
      </w:r>
      <w:r w:rsidR="00403418">
        <w:rPr>
          <w:i/>
          <w:iCs/>
        </w:rPr>
        <w:t>of writing</w:t>
      </w:r>
      <w:r>
        <w:rPr>
          <w:i/>
          <w:iCs/>
        </w:rPr>
        <w:t xml:space="preserve"> a single plan that Middletown will accept</w:t>
      </w:r>
      <w:r w:rsidR="00403418">
        <w:rPr>
          <w:i/>
          <w:iCs/>
        </w:rPr>
        <w:t xml:space="preserve"> and, ACT ON</w:t>
      </w:r>
      <w:r>
        <w:rPr>
          <w:i/>
          <w:iCs/>
        </w:rPr>
        <w:t xml:space="preserve">.   </w:t>
      </w:r>
    </w:p>
    <w:p w14:paraId="5B6FCE2C" w14:textId="6B455A41" w:rsidR="00403418" w:rsidRDefault="00403418" w:rsidP="008D05ED">
      <w:pPr>
        <w:spacing w:after="5" w:line="268" w:lineRule="auto"/>
        <w:ind w:left="720" w:right="63" w:firstLine="0"/>
        <w:rPr>
          <w:i/>
          <w:iCs/>
        </w:rPr>
      </w:pPr>
    </w:p>
    <w:p w14:paraId="5EA45B82" w14:textId="0DBCF874" w:rsidR="00403418" w:rsidRDefault="00403418" w:rsidP="008D05ED">
      <w:pPr>
        <w:spacing w:after="5" w:line="268" w:lineRule="auto"/>
        <w:ind w:left="720" w:right="63" w:firstLine="0"/>
        <w:rPr>
          <w:i/>
          <w:iCs/>
        </w:rPr>
      </w:pPr>
      <w:r>
        <w:rPr>
          <w:i/>
          <w:iCs/>
        </w:rPr>
        <w:t>It seems to me likely that the Woodbridge Plan is less vague than what I’m seeing in the Rutgers Plan.  Hopefully the Woodbridge Plan promotes action, and we can emulate it.</w:t>
      </w:r>
    </w:p>
    <w:p w14:paraId="3B4B8640" w14:textId="5B6A2C0D" w:rsidR="003578CD" w:rsidRDefault="003578CD" w:rsidP="008D05ED">
      <w:pPr>
        <w:spacing w:after="5" w:line="268" w:lineRule="auto"/>
        <w:ind w:left="720" w:right="63" w:firstLine="0"/>
        <w:rPr>
          <w:i/>
          <w:iCs/>
        </w:rPr>
      </w:pPr>
    </w:p>
    <w:p w14:paraId="1328D0A8" w14:textId="18BF31EA" w:rsidR="003578CD" w:rsidRDefault="003578CD" w:rsidP="00403418">
      <w:pPr>
        <w:spacing w:after="5" w:line="268" w:lineRule="auto"/>
        <w:ind w:left="720" w:right="63" w:firstLine="0"/>
        <w:rPr>
          <w:i/>
          <w:iCs/>
        </w:rPr>
      </w:pPr>
      <w:r>
        <w:rPr>
          <w:i/>
          <w:iCs/>
        </w:rPr>
        <w:t>I have worked only on the first of</w:t>
      </w:r>
      <w:r w:rsidR="00B47560">
        <w:rPr>
          <w:i/>
          <w:iCs/>
        </w:rPr>
        <w:t xml:space="preserve"> the items under </w:t>
      </w:r>
      <w:r w:rsidR="00403418">
        <w:rPr>
          <w:i/>
          <w:iCs/>
        </w:rPr>
        <w:t xml:space="preserve">Rutgers </w:t>
      </w:r>
      <w:r w:rsidR="00B47560">
        <w:rPr>
          <w:i/>
          <w:iCs/>
        </w:rPr>
        <w:t>Item 6, Idling</w:t>
      </w:r>
      <w:r w:rsidR="00403418">
        <w:rPr>
          <w:i/>
          <w:iCs/>
        </w:rPr>
        <w:t xml:space="preserve">.  The text that is not “cut and paste” from the Rutgers Plan is in red. </w:t>
      </w:r>
    </w:p>
    <w:p w14:paraId="021D1A00" w14:textId="317B1C43" w:rsidR="00B47560" w:rsidRDefault="00B47560" w:rsidP="008D05ED">
      <w:pPr>
        <w:spacing w:after="5" w:line="268" w:lineRule="auto"/>
        <w:ind w:left="720" w:right="63" w:firstLine="0"/>
        <w:rPr>
          <w:i/>
          <w:iCs/>
        </w:rPr>
      </w:pPr>
    </w:p>
    <w:p w14:paraId="5AF7FAE6" w14:textId="77777777" w:rsidR="00B47560" w:rsidRPr="009876E2" w:rsidRDefault="00B47560" w:rsidP="008D05ED">
      <w:pPr>
        <w:spacing w:after="5" w:line="268" w:lineRule="auto"/>
        <w:ind w:left="720" w:right="63" w:firstLine="0"/>
      </w:pPr>
    </w:p>
    <w:p w14:paraId="144F6BF3" w14:textId="77777777" w:rsidR="009876E2" w:rsidRPr="009876E2" w:rsidRDefault="008D05ED" w:rsidP="009876E2">
      <w:pPr>
        <w:pStyle w:val="Heading1"/>
        <w:ind w:left="345" w:hanging="360"/>
        <w:rPr>
          <w:rFonts w:ascii="Century Schoolbook" w:eastAsia="Century Schoolbook" w:hAnsi="Century Schoolbook" w:cs="Century Schoolbook"/>
          <w:b/>
          <w:color w:val="974706"/>
          <w:kern w:val="0"/>
          <w:sz w:val="28"/>
          <w:szCs w:val="22"/>
          <w:lang w:eastAsia="en-US"/>
        </w:rPr>
      </w:pPr>
      <w:r>
        <w:t xml:space="preserve"> </w:t>
      </w:r>
      <w:r w:rsidR="009876E2" w:rsidRPr="009876E2">
        <w:rPr>
          <w:rFonts w:ascii="Century Schoolbook" w:eastAsia="Century Schoolbook" w:hAnsi="Century Schoolbook" w:cs="Century Schoolbook"/>
          <w:b/>
          <w:color w:val="974706"/>
          <w:kern w:val="0"/>
          <w:sz w:val="28"/>
          <w:szCs w:val="22"/>
          <w:lang w:eastAsia="en-US"/>
        </w:rPr>
        <w:t xml:space="preserve">Summary of Alternative Energy and Conservation Plan Measures; Recommended Policy Alternatives  </w:t>
      </w:r>
    </w:p>
    <w:p w14:paraId="45ED13D5" w14:textId="77777777" w:rsidR="009876E2" w:rsidRPr="009876E2" w:rsidRDefault="009876E2" w:rsidP="009876E2">
      <w:pPr>
        <w:spacing w:line="259" w:lineRule="auto"/>
        <w:ind w:left="-62" w:firstLine="0"/>
        <w:rPr>
          <w:rFonts w:ascii="Century Schoolbook" w:eastAsia="Century Schoolbook" w:hAnsi="Century Schoolbook" w:cs="Century Schoolbook"/>
          <w:color w:val="000000"/>
          <w:kern w:val="0"/>
          <w:szCs w:val="22"/>
          <w:lang w:eastAsia="en-US"/>
        </w:rPr>
      </w:pPr>
      <w:r w:rsidRPr="009876E2">
        <w:rPr>
          <w:rFonts w:ascii="Calibri" w:eastAsia="Calibri" w:hAnsi="Calibri" w:cs="Calibri"/>
          <w:noProof/>
          <w:color w:val="000000"/>
          <w:kern w:val="0"/>
          <w:sz w:val="22"/>
          <w:szCs w:val="22"/>
          <w:lang w:eastAsia="en-US"/>
        </w:rPr>
        <mc:AlternateContent>
          <mc:Choice Requires="wpg">
            <w:drawing>
              <wp:inline distT="0" distB="0" distL="0" distR="0" wp14:anchorId="5E33EE4F" wp14:editId="094A38F9">
                <wp:extent cx="6412992" cy="25147"/>
                <wp:effectExtent l="0" t="0" r="0" b="0"/>
                <wp:docPr id="49451" name="Group 49451"/>
                <wp:cNvGraphicFramePr/>
                <a:graphic xmlns:a="http://schemas.openxmlformats.org/drawingml/2006/main">
                  <a:graphicData uri="http://schemas.microsoft.com/office/word/2010/wordprocessingGroup">
                    <wpg:wgp>
                      <wpg:cNvGrpSpPr/>
                      <wpg:grpSpPr>
                        <a:xfrm>
                          <a:off x="0" y="0"/>
                          <a:ext cx="6412992" cy="25147"/>
                          <a:chOff x="0" y="0"/>
                          <a:chExt cx="6412992" cy="25147"/>
                        </a:xfrm>
                      </wpg:grpSpPr>
                      <wps:wsp>
                        <wps:cNvPr id="4099" name="Shape 4099"/>
                        <wps:cNvSpPr/>
                        <wps:spPr>
                          <a:xfrm>
                            <a:off x="12954" y="25147"/>
                            <a:ext cx="6400038" cy="0"/>
                          </a:xfrm>
                          <a:custGeom>
                            <a:avLst/>
                            <a:gdLst/>
                            <a:ahLst/>
                            <a:cxnLst/>
                            <a:rect l="0" t="0" r="0" b="0"/>
                            <a:pathLst>
                              <a:path w="6400038">
                                <a:moveTo>
                                  <a:pt x="0" y="0"/>
                                </a:moveTo>
                                <a:lnTo>
                                  <a:pt x="6400038" y="0"/>
                                </a:lnTo>
                              </a:path>
                            </a:pathLst>
                          </a:custGeom>
                          <a:noFill/>
                          <a:ln w="12700" cap="flat" cmpd="sng" algn="ctr">
                            <a:solidFill>
                              <a:srgbClr val="964606"/>
                            </a:solidFill>
                            <a:prstDash val="solid"/>
                            <a:round/>
                          </a:ln>
                          <a:effectLst/>
                        </wps:spPr>
                        <wps:bodyPr/>
                      </wps:wsp>
                      <wps:wsp>
                        <wps:cNvPr id="4100" name="Shape 4100"/>
                        <wps:cNvSpPr/>
                        <wps:spPr>
                          <a:xfrm>
                            <a:off x="0" y="0"/>
                            <a:ext cx="6400038" cy="0"/>
                          </a:xfrm>
                          <a:custGeom>
                            <a:avLst/>
                            <a:gdLst/>
                            <a:ahLst/>
                            <a:cxnLst/>
                            <a:rect l="0" t="0" r="0" b="0"/>
                            <a:pathLst>
                              <a:path w="6400038">
                                <a:moveTo>
                                  <a:pt x="0" y="0"/>
                                </a:moveTo>
                                <a:lnTo>
                                  <a:pt x="6400038" y="0"/>
                                </a:lnTo>
                              </a:path>
                            </a:pathLst>
                          </a:custGeom>
                          <a:noFill/>
                          <a:ln w="12700" cap="flat" cmpd="sng" algn="ctr">
                            <a:solidFill>
                              <a:srgbClr val="F9BE8F"/>
                            </a:solidFill>
                            <a:prstDash val="solid"/>
                            <a:round/>
                          </a:ln>
                          <a:effectLst/>
                        </wps:spPr>
                        <wps:bodyPr/>
                      </wps:wsp>
                    </wpg:wgp>
                  </a:graphicData>
                </a:graphic>
              </wp:inline>
            </w:drawing>
          </mc:Choice>
          <mc:Fallback>
            <w:pict>
              <v:group w14:anchorId="450129BF" id="Group 49451" o:spid="_x0000_s1026" style="width:504.95pt;height:2pt;mso-position-horizontal-relative:char;mso-position-vertical-relative:line" coordsize="64129,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">
                <v:shape id="Shape 4099" o:spid="_x0000_s1027" style="position:absolute;left:129;top:251;width:64000;height:0;visibility:visible;mso-wrap-style:square;v-text-anchor:top" coordsize="6400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" path="m,l6400038,e" filled="f" strokecolor="#964606" strokeweight="1pt">
                  <v:path arrowok="t" textboxrect="0,0,6400038,0"/>
                </v:shape>
                <v:shape id="Shape 4100" o:spid="_x0000_s1028" style="position:absolute;width:64000;height:0;visibility:visible;mso-wrap-style:square;v-text-anchor:top" coordsize="6400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" path="m,l6400038,e" filled="f" strokecolor="#f9be8f" strokeweight="1pt">
                  <v:path arrowok="t" textboxrect="0,0,6400038,0"/>
                </v:shape>
                <w10:anchorlock/>
              </v:group>
            </w:pict>
          </mc:Fallback>
        </mc:AlternateContent>
      </w:r>
      <w:r w:rsidRPr="009876E2">
        <w:rPr>
          <w:rFonts w:ascii="Century Schoolbook" w:eastAsia="Century Schoolbook" w:hAnsi="Century Schoolbook" w:cs="Century Schoolbook"/>
          <w:b/>
          <w:color w:val="000000"/>
          <w:kern w:val="0"/>
          <w:szCs w:val="22"/>
          <w:lang w:eastAsia="en-US"/>
        </w:rPr>
        <w:t xml:space="preserve"> </w:t>
      </w:r>
    </w:p>
    <w:p w14:paraId="331EA1F4" w14:textId="77777777" w:rsidR="009876E2" w:rsidRPr="009876E2" w:rsidRDefault="009876E2" w:rsidP="009876E2">
      <w:pPr>
        <w:spacing w:after="257" w:line="259" w:lineRule="auto"/>
        <w:ind w:firstLine="0"/>
        <w:rPr>
          <w:rFonts w:ascii="Century Schoolbook" w:eastAsia="Century Schoolbook" w:hAnsi="Century Schoolbook" w:cs="Century Schoolbook"/>
          <w:color w:val="000000"/>
          <w:kern w:val="0"/>
          <w:szCs w:val="22"/>
          <w:lang w:eastAsia="en-US"/>
        </w:rPr>
      </w:pPr>
      <w:r w:rsidRPr="009876E2">
        <w:rPr>
          <w:rFonts w:ascii="Century Schoolbook" w:eastAsia="Century Schoolbook" w:hAnsi="Century Schoolbook" w:cs="Century Schoolbook"/>
          <w:b/>
          <w:color w:val="000000"/>
          <w:kern w:val="0"/>
          <w:szCs w:val="22"/>
          <w:lang w:eastAsia="en-US"/>
        </w:rPr>
        <w:t xml:space="preserve"> </w:t>
      </w:r>
    </w:p>
    <w:p w14:paraId="3937E3BC" w14:textId="77777777" w:rsidR="009876E2" w:rsidRPr="009876E2" w:rsidRDefault="009876E2" w:rsidP="009876E2">
      <w:pPr>
        <w:keepNext/>
        <w:keepLines/>
        <w:spacing w:after="268" w:line="249" w:lineRule="auto"/>
        <w:ind w:left="-5" w:hanging="10"/>
        <w:outlineLvl w:val="1"/>
        <w:rPr>
          <w:rFonts w:ascii="Century Schoolbook" w:eastAsia="Century Schoolbook" w:hAnsi="Century Schoolbook" w:cs="Century Schoolbook"/>
          <w:b/>
          <w:color w:val="4F6128"/>
          <w:kern w:val="0"/>
          <w:szCs w:val="22"/>
          <w:lang w:eastAsia="en-US"/>
        </w:rPr>
      </w:pPr>
      <w:bookmarkStart w:id="0" w:name="_Toc54542"/>
      <w:r w:rsidRPr="009876E2">
        <w:rPr>
          <w:rFonts w:ascii="Century Schoolbook" w:eastAsia="Century Schoolbook" w:hAnsi="Century Schoolbook" w:cs="Century Schoolbook"/>
          <w:b/>
          <w:color w:val="4F6128"/>
          <w:kern w:val="0"/>
          <w:szCs w:val="22"/>
          <w:lang w:eastAsia="en-US"/>
        </w:rPr>
        <w:t xml:space="preserve">Summary of Energy Plan Implementation Measures </w:t>
      </w:r>
      <w:bookmarkEnd w:id="0"/>
    </w:p>
    <w:p w14:paraId="302871D3" w14:textId="77777777" w:rsidR="009876E2" w:rsidRPr="009876E2" w:rsidRDefault="009876E2" w:rsidP="009876E2">
      <w:pPr>
        <w:spacing w:after="249" w:line="270" w:lineRule="auto"/>
        <w:ind w:left="-5" w:right="63" w:hanging="10"/>
        <w:rPr>
          <w:rFonts w:ascii="Century Schoolbook" w:eastAsia="Century Schoolbook" w:hAnsi="Century Schoolbook" w:cs="Century Schoolbook"/>
          <w:color w:val="000000"/>
          <w:kern w:val="0"/>
          <w:szCs w:val="22"/>
          <w:lang w:eastAsia="en-US"/>
        </w:rPr>
      </w:pPr>
      <w:r w:rsidRPr="009876E2">
        <w:rPr>
          <w:rFonts w:ascii="Century Schoolbook" w:eastAsia="Century Schoolbook" w:hAnsi="Century Schoolbook" w:cs="Century Schoolbook"/>
          <w:color w:val="000000"/>
          <w:kern w:val="0"/>
          <w:szCs w:val="22"/>
          <w:lang w:eastAsia="en-US"/>
        </w:rPr>
        <w:t xml:space="preserve">This summarizes measures to implement the energy plan for Middletown </w:t>
      </w:r>
      <w:r w:rsidRPr="009876E2">
        <w:rPr>
          <w:rFonts w:ascii="Century Schoolbook" w:eastAsia="Century Schoolbook" w:hAnsi="Century Schoolbook" w:cs="Century Schoolbook"/>
          <w:color w:val="000000"/>
          <w:kern w:val="0"/>
          <w:sz w:val="22"/>
          <w:szCs w:val="22"/>
          <w:lang w:eastAsia="en-US"/>
        </w:rPr>
        <w:t>Township</w:t>
      </w:r>
      <w:r w:rsidRPr="009876E2">
        <w:rPr>
          <w:rFonts w:ascii="Century Schoolbook" w:eastAsia="Century Schoolbook" w:hAnsi="Century Schoolbook" w:cs="Century Schoolbook"/>
          <w:color w:val="000000"/>
          <w:kern w:val="0"/>
          <w:szCs w:val="22"/>
          <w:lang w:eastAsia="en-US"/>
        </w:rPr>
        <w:t xml:space="preserve">.  The measures are grouped under the following categories. </w:t>
      </w:r>
    </w:p>
    <w:p w14:paraId="1AA36CEB" w14:textId="77777777" w:rsidR="009876E2" w:rsidRPr="009876E2" w:rsidRDefault="009876E2" w:rsidP="009876E2">
      <w:pPr>
        <w:numPr>
          <w:ilvl w:val="0"/>
          <w:numId w:val="2"/>
        </w:numPr>
        <w:spacing w:after="5" w:line="270" w:lineRule="auto"/>
        <w:ind w:right="63"/>
        <w:rPr>
          <w:rFonts w:ascii="Century Schoolbook" w:eastAsia="Century Schoolbook" w:hAnsi="Century Schoolbook" w:cs="Century Schoolbook"/>
          <w:color w:val="000000"/>
          <w:kern w:val="0"/>
          <w:szCs w:val="22"/>
          <w:lang w:eastAsia="en-US"/>
        </w:rPr>
      </w:pPr>
      <w:r w:rsidRPr="009876E2">
        <w:rPr>
          <w:rFonts w:ascii="Century Schoolbook" w:eastAsia="Century Schoolbook" w:hAnsi="Century Schoolbook" w:cs="Century Schoolbook"/>
          <w:color w:val="000000"/>
          <w:kern w:val="0"/>
          <w:szCs w:val="22"/>
          <w:lang w:eastAsia="en-US"/>
        </w:rPr>
        <w:t xml:space="preserve">Education and Outreach </w:t>
      </w:r>
    </w:p>
    <w:p w14:paraId="0A962EDE" w14:textId="77777777" w:rsidR="009876E2" w:rsidRPr="009876E2" w:rsidRDefault="009876E2" w:rsidP="009876E2">
      <w:pPr>
        <w:numPr>
          <w:ilvl w:val="0"/>
          <w:numId w:val="2"/>
        </w:numPr>
        <w:spacing w:after="5" w:line="270" w:lineRule="auto"/>
        <w:ind w:right="63"/>
        <w:rPr>
          <w:rFonts w:ascii="Century Schoolbook" w:eastAsia="Century Schoolbook" w:hAnsi="Century Schoolbook" w:cs="Century Schoolbook"/>
          <w:color w:val="000000"/>
          <w:kern w:val="0"/>
          <w:szCs w:val="22"/>
          <w:lang w:eastAsia="en-US"/>
        </w:rPr>
      </w:pPr>
      <w:r w:rsidRPr="009876E2">
        <w:rPr>
          <w:rFonts w:ascii="Century Schoolbook" w:eastAsia="Century Schoolbook" w:hAnsi="Century Schoolbook" w:cs="Century Schoolbook"/>
          <w:color w:val="000000"/>
          <w:kern w:val="0"/>
          <w:szCs w:val="22"/>
          <w:lang w:eastAsia="en-US"/>
        </w:rPr>
        <w:t xml:space="preserve">Renewable Energy </w:t>
      </w:r>
    </w:p>
    <w:p w14:paraId="3E90B6AB" w14:textId="77777777" w:rsidR="009876E2" w:rsidRPr="009876E2" w:rsidRDefault="009876E2" w:rsidP="009876E2">
      <w:pPr>
        <w:numPr>
          <w:ilvl w:val="0"/>
          <w:numId w:val="2"/>
        </w:numPr>
        <w:spacing w:after="5" w:line="270" w:lineRule="auto"/>
        <w:ind w:right="63"/>
        <w:rPr>
          <w:rFonts w:ascii="Century Schoolbook" w:eastAsia="Century Schoolbook" w:hAnsi="Century Schoolbook" w:cs="Century Schoolbook"/>
          <w:color w:val="000000"/>
          <w:kern w:val="0"/>
          <w:szCs w:val="22"/>
          <w:lang w:eastAsia="en-US"/>
        </w:rPr>
      </w:pPr>
      <w:r w:rsidRPr="009876E2">
        <w:rPr>
          <w:rFonts w:ascii="Century Schoolbook" w:eastAsia="Century Schoolbook" w:hAnsi="Century Schoolbook" w:cs="Century Schoolbook"/>
          <w:color w:val="000000"/>
          <w:kern w:val="0"/>
          <w:szCs w:val="22"/>
          <w:lang w:eastAsia="en-US"/>
        </w:rPr>
        <w:t xml:space="preserve">Sustainable Landscaping and Land Use </w:t>
      </w:r>
    </w:p>
    <w:p w14:paraId="50BC848E" w14:textId="77777777" w:rsidR="009876E2" w:rsidRPr="009876E2" w:rsidRDefault="009876E2" w:rsidP="009876E2">
      <w:pPr>
        <w:numPr>
          <w:ilvl w:val="0"/>
          <w:numId w:val="2"/>
        </w:numPr>
        <w:spacing w:after="5" w:line="270" w:lineRule="auto"/>
        <w:ind w:right="63"/>
        <w:rPr>
          <w:rFonts w:ascii="Century Schoolbook" w:eastAsia="Century Schoolbook" w:hAnsi="Century Schoolbook" w:cs="Century Schoolbook"/>
          <w:color w:val="000000"/>
          <w:kern w:val="0"/>
          <w:szCs w:val="22"/>
          <w:lang w:eastAsia="en-US"/>
        </w:rPr>
      </w:pPr>
      <w:r w:rsidRPr="009876E2">
        <w:rPr>
          <w:rFonts w:ascii="Century Schoolbook" w:eastAsia="Century Schoolbook" w:hAnsi="Century Schoolbook" w:cs="Century Schoolbook"/>
          <w:color w:val="000000"/>
          <w:kern w:val="0"/>
          <w:szCs w:val="22"/>
          <w:lang w:eastAsia="en-US"/>
        </w:rPr>
        <w:t xml:space="preserve">Water Efficiency </w:t>
      </w:r>
    </w:p>
    <w:p w14:paraId="6B360B88" w14:textId="77777777" w:rsidR="009876E2" w:rsidRPr="009876E2" w:rsidRDefault="009876E2" w:rsidP="009876E2">
      <w:pPr>
        <w:numPr>
          <w:ilvl w:val="0"/>
          <w:numId w:val="2"/>
        </w:numPr>
        <w:spacing w:after="5" w:line="270" w:lineRule="auto"/>
        <w:ind w:right="63"/>
        <w:rPr>
          <w:rFonts w:ascii="Century Schoolbook" w:eastAsia="Century Schoolbook" w:hAnsi="Century Schoolbook" w:cs="Century Schoolbook"/>
          <w:color w:val="000000"/>
          <w:kern w:val="0"/>
          <w:szCs w:val="22"/>
          <w:lang w:eastAsia="en-US"/>
        </w:rPr>
      </w:pPr>
      <w:r w:rsidRPr="009876E2">
        <w:rPr>
          <w:rFonts w:ascii="Century Schoolbook" w:eastAsia="Century Schoolbook" w:hAnsi="Century Schoolbook" w:cs="Century Schoolbook"/>
          <w:color w:val="000000"/>
          <w:kern w:val="0"/>
          <w:szCs w:val="22"/>
          <w:lang w:eastAsia="en-US"/>
        </w:rPr>
        <w:t xml:space="preserve">Waste Reduction </w:t>
      </w:r>
    </w:p>
    <w:p w14:paraId="13655958" w14:textId="77777777" w:rsidR="009876E2" w:rsidRPr="009876E2" w:rsidRDefault="009876E2" w:rsidP="009876E2">
      <w:pPr>
        <w:numPr>
          <w:ilvl w:val="0"/>
          <w:numId w:val="2"/>
        </w:numPr>
        <w:spacing w:after="5" w:line="270" w:lineRule="auto"/>
        <w:ind w:right="63"/>
        <w:rPr>
          <w:rFonts w:ascii="Century Schoolbook" w:eastAsia="Century Schoolbook" w:hAnsi="Century Schoolbook" w:cs="Century Schoolbook"/>
          <w:color w:val="000000"/>
          <w:kern w:val="0"/>
          <w:szCs w:val="22"/>
          <w:lang w:eastAsia="en-US"/>
        </w:rPr>
      </w:pPr>
      <w:r w:rsidRPr="009876E2">
        <w:rPr>
          <w:rFonts w:ascii="Century Schoolbook" w:eastAsia="Century Schoolbook" w:hAnsi="Century Schoolbook" w:cs="Century Schoolbook"/>
          <w:color w:val="000000"/>
          <w:kern w:val="0"/>
          <w:szCs w:val="22"/>
          <w:lang w:eastAsia="en-US"/>
        </w:rPr>
        <w:t xml:space="preserve">Vehicle Miles Traveled (VMT) Reduction </w:t>
      </w:r>
    </w:p>
    <w:p w14:paraId="32213F0A" w14:textId="77777777" w:rsidR="009876E2" w:rsidRPr="009876E2" w:rsidRDefault="009876E2" w:rsidP="009876E2">
      <w:pPr>
        <w:numPr>
          <w:ilvl w:val="0"/>
          <w:numId w:val="2"/>
        </w:numPr>
        <w:spacing w:after="5" w:line="270" w:lineRule="auto"/>
        <w:ind w:right="63"/>
        <w:rPr>
          <w:rFonts w:ascii="Century Schoolbook" w:eastAsia="Century Schoolbook" w:hAnsi="Century Schoolbook" w:cs="Century Schoolbook"/>
          <w:color w:val="000000"/>
          <w:kern w:val="0"/>
          <w:szCs w:val="22"/>
          <w:lang w:eastAsia="en-US"/>
        </w:rPr>
      </w:pPr>
      <w:r w:rsidRPr="009876E2">
        <w:rPr>
          <w:rFonts w:ascii="Century Schoolbook" w:eastAsia="Century Schoolbook" w:hAnsi="Century Schoolbook" w:cs="Century Schoolbook"/>
          <w:color w:val="000000"/>
          <w:kern w:val="0"/>
          <w:szCs w:val="22"/>
          <w:lang w:eastAsia="en-US"/>
        </w:rPr>
        <w:t xml:space="preserve">Energy Efficiency and Green Building </w:t>
      </w:r>
    </w:p>
    <w:p w14:paraId="407C33B5" w14:textId="77777777" w:rsidR="009876E2" w:rsidRPr="009876E2" w:rsidRDefault="009876E2" w:rsidP="009876E2">
      <w:pPr>
        <w:spacing w:after="300" w:line="259" w:lineRule="auto"/>
        <w:ind w:firstLine="0"/>
        <w:rPr>
          <w:rFonts w:ascii="Century Schoolbook" w:eastAsia="Century Schoolbook" w:hAnsi="Century Schoolbook" w:cs="Century Schoolbook"/>
          <w:color w:val="000000"/>
          <w:kern w:val="0"/>
          <w:szCs w:val="22"/>
          <w:lang w:eastAsia="en-US"/>
        </w:rPr>
      </w:pPr>
      <w:r w:rsidRPr="009876E2">
        <w:rPr>
          <w:rFonts w:ascii="Century Schoolbook" w:eastAsia="Century Schoolbook" w:hAnsi="Century Schoolbook" w:cs="Century Schoolbook"/>
          <w:color w:val="000000"/>
          <w:kern w:val="0"/>
          <w:szCs w:val="22"/>
          <w:lang w:eastAsia="en-US"/>
        </w:rPr>
        <w:t xml:space="preserve"> </w:t>
      </w:r>
    </w:p>
    <w:p w14:paraId="77D86EC2" w14:textId="77777777" w:rsidR="009876E2" w:rsidRPr="009876E2" w:rsidRDefault="009876E2" w:rsidP="009876E2">
      <w:pPr>
        <w:keepNext/>
        <w:keepLines/>
        <w:spacing w:after="268" w:line="249" w:lineRule="auto"/>
        <w:ind w:left="-5" w:hanging="10"/>
        <w:outlineLvl w:val="1"/>
        <w:rPr>
          <w:rFonts w:ascii="Century Schoolbook" w:eastAsia="Century Schoolbook" w:hAnsi="Century Schoolbook" w:cs="Century Schoolbook"/>
          <w:b/>
          <w:color w:val="4F6128"/>
          <w:kern w:val="0"/>
          <w:szCs w:val="22"/>
          <w:lang w:eastAsia="en-US"/>
        </w:rPr>
      </w:pPr>
      <w:bookmarkStart w:id="1" w:name="_Toc54543"/>
      <w:proofErr w:type="gramStart"/>
      <w:r w:rsidRPr="009876E2">
        <w:rPr>
          <w:rFonts w:ascii="Century Schoolbook" w:eastAsia="Century Schoolbook" w:hAnsi="Century Schoolbook" w:cs="Century Schoolbook"/>
          <w:b/>
          <w:color w:val="4F6128"/>
          <w:kern w:val="0"/>
          <w:szCs w:val="22"/>
          <w:lang w:eastAsia="en-US"/>
        </w:rPr>
        <w:t>6.1  Education</w:t>
      </w:r>
      <w:proofErr w:type="gramEnd"/>
      <w:r w:rsidRPr="009876E2">
        <w:rPr>
          <w:rFonts w:ascii="Century Schoolbook" w:eastAsia="Century Schoolbook" w:hAnsi="Century Schoolbook" w:cs="Century Schoolbook"/>
          <w:b/>
          <w:color w:val="4F6128"/>
          <w:kern w:val="0"/>
          <w:szCs w:val="22"/>
          <w:lang w:eastAsia="en-US"/>
        </w:rPr>
        <w:t xml:space="preserve"> and Outreach </w:t>
      </w:r>
      <w:bookmarkEnd w:id="1"/>
    </w:p>
    <w:p w14:paraId="451DF7AC" w14:textId="77777777" w:rsidR="009876E2" w:rsidRPr="009876E2" w:rsidRDefault="009876E2" w:rsidP="009876E2">
      <w:pPr>
        <w:numPr>
          <w:ilvl w:val="0"/>
          <w:numId w:val="3"/>
        </w:numPr>
        <w:spacing w:after="210" w:line="268" w:lineRule="auto"/>
        <w:ind w:right="718"/>
        <w:rPr>
          <w:rFonts w:ascii="Century Schoolbook" w:eastAsia="Century Schoolbook" w:hAnsi="Century Schoolbook" w:cs="Century Schoolbook"/>
          <w:color w:val="000000"/>
          <w:kern w:val="0"/>
          <w:szCs w:val="22"/>
          <w:lang w:eastAsia="en-US"/>
        </w:rPr>
      </w:pPr>
      <w:r w:rsidRPr="009876E2">
        <w:rPr>
          <w:rFonts w:ascii="Century Schoolbook" w:eastAsia="Century Schoolbook" w:hAnsi="Century Schoolbook" w:cs="Century Schoolbook"/>
          <w:i/>
          <w:color w:val="000000"/>
          <w:kern w:val="0"/>
          <w:szCs w:val="22"/>
          <w:lang w:eastAsia="en-US"/>
        </w:rPr>
        <w:t xml:space="preserve">Implement an education and enforcement campaign to reduce vehicle idling.   </w:t>
      </w:r>
    </w:p>
    <w:p w14:paraId="29B34A3E" w14:textId="59CEDE40" w:rsidR="009876E2" w:rsidRDefault="009876E2" w:rsidP="009876E2">
      <w:pPr>
        <w:spacing w:after="207" w:line="270" w:lineRule="auto"/>
        <w:ind w:left="-5" w:right="63" w:hanging="10"/>
        <w:rPr>
          <w:rFonts w:ascii="Century Schoolbook" w:eastAsia="Century Schoolbook" w:hAnsi="Century Schoolbook" w:cs="Century Schoolbook"/>
          <w:color w:val="000000"/>
          <w:kern w:val="0"/>
          <w:szCs w:val="22"/>
          <w:lang w:eastAsia="en-US"/>
        </w:rPr>
      </w:pPr>
      <w:r w:rsidRPr="009876E2">
        <w:rPr>
          <w:rFonts w:ascii="Century Schoolbook" w:eastAsia="Century Schoolbook" w:hAnsi="Century Schoolbook" w:cs="Century Schoolbook"/>
          <w:color w:val="000000"/>
          <w:kern w:val="0"/>
          <w:szCs w:val="22"/>
          <w:lang w:eastAsia="en-US"/>
        </w:rPr>
        <w:lastRenderedPageBreak/>
        <w:t>Vehicle idling, which occurs when a vehicle engine is on while the vehicle is not in motion, reduces air quality and is associated with negative health impacts.  To avoid the unnecessary environmental and health impacts associated with idling, local governments can implement an education and enforcement campaign to reduce vehicle idling.  Campaign activities could include performing educational outreach, installing no-idling signs in frequent idling locations (e.g., schools, public facilities, and drive-</w:t>
      </w:r>
      <w:proofErr w:type="spellStart"/>
      <w:r w:rsidRPr="009876E2">
        <w:rPr>
          <w:rFonts w:ascii="Century Schoolbook" w:eastAsia="Century Schoolbook" w:hAnsi="Century Schoolbook" w:cs="Century Schoolbook"/>
          <w:color w:val="000000"/>
          <w:kern w:val="0"/>
          <w:szCs w:val="22"/>
          <w:lang w:eastAsia="en-US"/>
        </w:rPr>
        <w:t>thrus</w:t>
      </w:r>
      <w:proofErr w:type="spellEnd"/>
      <w:r w:rsidRPr="009876E2">
        <w:rPr>
          <w:rFonts w:ascii="Century Schoolbook" w:eastAsia="Century Schoolbook" w:hAnsi="Century Schoolbook" w:cs="Century Schoolbook"/>
          <w:color w:val="000000"/>
          <w:kern w:val="0"/>
          <w:szCs w:val="22"/>
          <w:lang w:eastAsia="en-US"/>
        </w:rPr>
        <w:t xml:space="preserve">), and increasing patrols and ticketing. </w:t>
      </w:r>
    </w:p>
    <w:p w14:paraId="6066B47E" w14:textId="1E7AED3C" w:rsidR="009876E2" w:rsidRDefault="009876E2" w:rsidP="009876E2">
      <w:pPr>
        <w:spacing w:after="207" w:line="270" w:lineRule="auto"/>
        <w:ind w:left="-5" w:right="63" w:hanging="10"/>
        <w:rPr>
          <w:rFonts w:ascii="Century Schoolbook" w:eastAsia="Century Schoolbook" w:hAnsi="Century Schoolbook" w:cs="Century Schoolbook"/>
          <w:color w:val="FF0000"/>
          <w:kern w:val="0"/>
          <w:szCs w:val="22"/>
          <w:lang w:eastAsia="en-US"/>
        </w:rPr>
      </w:pPr>
      <w:r w:rsidRPr="009876E2">
        <w:rPr>
          <w:rFonts w:ascii="Century Schoolbook" w:eastAsia="Century Schoolbook" w:hAnsi="Century Schoolbook" w:cs="Century Schoolbook"/>
          <w:color w:val="FF0000"/>
          <w:kern w:val="0"/>
          <w:szCs w:val="22"/>
          <w:lang w:eastAsia="en-US"/>
        </w:rPr>
        <w:t>Campaign education could include training for all municipal employees</w:t>
      </w:r>
      <w:r w:rsidR="00403418">
        <w:rPr>
          <w:rFonts w:ascii="Century Schoolbook" w:eastAsia="Century Schoolbook" w:hAnsi="Century Schoolbook" w:cs="Century Schoolbook"/>
          <w:color w:val="FF0000"/>
          <w:kern w:val="0"/>
          <w:szCs w:val="22"/>
          <w:lang w:eastAsia="en-US"/>
        </w:rPr>
        <w:t xml:space="preserve"> as well as instruction</w:t>
      </w:r>
      <w:r w:rsidRPr="009876E2">
        <w:rPr>
          <w:rFonts w:ascii="Century Schoolbook" w:eastAsia="Century Schoolbook" w:hAnsi="Century Schoolbook" w:cs="Century Schoolbook"/>
          <w:color w:val="FF0000"/>
          <w:kern w:val="0"/>
          <w:szCs w:val="22"/>
          <w:lang w:eastAsia="en-US"/>
        </w:rPr>
        <w:t xml:space="preserve"> in </w:t>
      </w:r>
      <w:r w:rsidR="00403418">
        <w:rPr>
          <w:rFonts w:ascii="Century Schoolbook" w:eastAsia="Century Schoolbook" w:hAnsi="Century Schoolbook" w:cs="Century Schoolbook"/>
          <w:color w:val="FF0000"/>
          <w:kern w:val="0"/>
          <w:szCs w:val="22"/>
          <w:lang w:eastAsia="en-US"/>
        </w:rPr>
        <w:t xml:space="preserve">the school system’s </w:t>
      </w:r>
      <w:r>
        <w:rPr>
          <w:rFonts w:ascii="Century Schoolbook" w:eastAsia="Century Schoolbook" w:hAnsi="Century Schoolbook" w:cs="Century Schoolbook"/>
          <w:color w:val="FF0000"/>
          <w:kern w:val="0"/>
          <w:szCs w:val="22"/>
          <w:lang w:eastAsia="en-US"/>
        </w:rPr>
        <w:t xml:space="preserve">driver’s </w:t>
      </w:r>
      <w:r w:rsidR="00403418">
        <w:rPr>
          <w:rFonts w:ascii="Century Schoolbook" w:eastAsia="Century Schoolbook" w:hAnsi="Century Schoolbook" w:cs="Century Schoolbook"/>
          <w:color w:val="FF0000"/>
          <w:kern w:val="0"/>
          <w:szCs w:val="22"/>
          <w:lang w:eastAsia="en-US"/>
        </w:rPr>
        <w:t>ed</w:t>
      </w:r>
      <w:r>
        <w:rPr>
          <w:rFonts w:ascii="Century Schoolbook" w:eastAsia="Century Schoolbook" w:hAnsi="Century Schoolbook" w:cs="Century Schoolbook"/>
          <w:color w:val="FF0000"/>
          <w:kern w:val="0"/>
          <w:szCs w:val="22"/>
          <w:lang w:eastAsia="en-US"/>
        </w:rPr>
        <w:t>.</w:t>
      </w:r>
    </w:p>
    <w:p w14:paraId="7C0007C6" w14:textId="0135AA6A" w:rsidR="009876E2" w:rsidRDefault="009876E2" w:rsidP="009876E2">
      <w:pPr>
        <w:spacing w:after="207" w:line="270" w:lineRule="auto"/>
        <w:ind w:left="-5" w:right="63" w:hanging="10"/>
        <w:rPr>
          <w:rFonts w:ascii="Century Schoolbook" w:eastAsia="Century Schoolbook" w:hAnsi="Century Schoolbook" w:cs="Century Schoolbook"/>
          <w:color w:val="FF0000"/>
          <w:kern w:val="0"/>
          <w:szCs w:val="22"/>
          <w:lang w:eastAsia="en-US"/>
        </w:rPr>
      </w:pPr>
      <w:r>
        <w:rPr>
          <w:rFonts w:ascii="Century Schoolbook" w:eastAsia="Century Schoolbook" w:hAnsi="Century Schoolbook" w:cs="Century Schoolbook"/>
          <w:color w:val="FF0000"/>
          <w:kern w:val="0"/>
          <w:szCs w:val="22"/>
          <w:lang w:eastAsia="en-US"/>
        </w:rPr>
        <w:t>Middletown for Clean Energy recommends that the school system and the Police department be reminded or trained regarding NJ State Administrative Code with respect to idling.  Appendix 1 shows the code.</w:t>
      </w:r>
    </w:p>
    <w:p w14:paraId="5E1F8C82" w14:textId="34C17204" w:rsidR="009876E2" w:rsidRDefault="009876E2" w:rsidP="009876E2">
      <w:pPr>
        <w:spacing w:after="207" w:line="270" w:lineRule="auto"/>
        <w:ind w:left="-5" w:right="63" w:hanging="10"/>
        <w:rPr>
          <w:rFonts w:ascii="Century Schoolbook" w:eastAsia="Century Schoolbook" w:hAnsi="Century Schoolbook" w:cs="Century Schoolbook"/>
          <w:color w:val="FF0000"/>
          <w:kern w:val="0"/>
          <w:szCs w:val="22"/>
          <w:lang w:eastAsia="en-US"/>
        </w:rPr>
      </w:pPr>
      <w:r>
        <w:rPr>
          <w:rFonts w:ascii="Century Schoolbook" w:eastAsia="Century Schoolbook" w:hAnsi="Century Schoolbook" w:cs="Century Schoolbook"/>
          <w:color w:val="FF0000"/>
          <w:kern w:val="0"/>
          <w:szCs w:val="22"/>
          <w:lang w:eastAsia="en-US"/>
        </w:rPr>
        <w:t xml:space="preserve">Middletown for Clean Energy recommends a municipal ordinance be passed, </w:t>
      </w:r>
      <w:proofErr w:type="gramStart"/>
      <w:r>
        <w:rPr>
          <w:rFonts w:ascii="Century Schoolbook" w:eastAsia="Century Schoolbook" w:hAnsi="Century Schoolbook" w:cs="Century Schoolbook"/>
          <w:color w:val="FF0000"/>
          <w:kern w:val="0"/>
          <w:szCs w:val="22"/>
          <w:lang w:eastAsia="en-US"/>
        </w:rPr>
        <w:t>similar to</w:t>
      </w:r>
      <w:proofErr w:type="gramEnd"/>
      <w:r>
        <w:rPr>
          <w:rFonts w:ascii="Century Schoolbook" w:eastAsia="Century Schoolbook" w:hAnsi="Century Schoolbook" w:cs="Century Schoolbook"/>
          <w:color w:val="FF0000"/>
          <w:kern w:val="0"/>
          <w:szCs w:val="22"/>
          <w:lang w:eastAsia="en-US"/>
        </w:rPr>
        <w:t xml:space="preserve"> that of Princeton (Appendix 2) or South River (Appendix 3).</w:t>
      </w:r>
    </w:p>
    <w:p w14:paraId="17AA3A44" w14:textId="77777777" w:rsidR="00163023" w:rsidRDefault="00163023" w:rsidP="00EE30D4">
      <w:pPr>
        <w:ind w:firstLine="0"/>
      </w:pPr>
      <w:bookmarkStart w:id="2" w:name="_GoBack"/>
      <w:bookmarkEnd w:id="2"/>
    </w:p>
    <w:sectPr w:rsidR="0016302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A8425" w14:textId="77777777" w:rsidR="005C04F0" w:rsidRDefault="005C04F0" w:rsidP="008D05ED">
      <w:pPr>
        <w:spacing w:line="240" w:lineRule="auto"/>
      </w:pPr>
      <w:r>
        <w:separator/>
      </w:r>
    </w:p>
  </w:endnote>
  <w:endnote w:type="continuationSeparator" w:id="0">
    <w:p w14:paraId="2ADDF0B7" w14:textId="77777777" w:rsidR="005C04F0" w:rsidRDefault="005C04F0" w:rsidP="008D05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1516391"/>
      <w:docPartObj>
        <w:docPartGallery w:val="Page Numbers (Bottom of Page)"/>
        <w:docPartUnique/>
      </w:docPartObj>
    </w:sdtPr>
    <w:sdtEndPr>
      <w:rPr>
        <w:noProof/>
      </w:rPr>
    </w:sdtEndPr>
    <w:sdtContent>
      <w:p w14:paraId="04B70D56" w14:textId="4C99A58A" w:rsidR="008D05ED" w:rsidRDefault="008D05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AA3BB8" w14:textId="77777777" w:rsidR="008D05ED" w:rsidRDefault="008D0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2CC52" w14:textId="77777777" w:rsidR="005C04F0" w:rsidRDefault="005C04F0" w:rsidP="008D05ED">
      <w:pPr>
        <w:spacing w:line="240" w:lineRule="auto"/>
      </w:pPr>
      <w:r>
        <w:separator/>
      </w:r>
    </w:p>
  </w:footnote>
  <w:footnote w:type="continuationSeparator" w:id="0">
    <w:p w14:paraId="4193280B" w14:textId="77777777" w:rsidR="005C04F0" w:rsidRDefault="005C04F0" w:rsidP="008D05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5CD1" w14:textId="0E67442B" w:rsidR="008D05ED" w:rsidRDefault="008D05ED">
    <w:pPr>
      <w:pStyle w:val="Header"/>
    </w:pPr>
    <w:r>
      <w:t>DRAFT, Portion of Middletown Energy Plan, based on Rutgers Plan of August 2010</w:t>
    </w:r>
  </w:p>
  <w:p w14:paraId="2AAED56D" w14:textId="77777777" w:rsidR="008D05ED" w:rsidRDefault="008D0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F1BA7"/>
    <w:multiLevelType w:val="hybridMultilevel"/>
    <w:tmpl w:val="F91A0E1A"/>
    <w:lvl w:ilvl="0" w:tplc="7490324C">
      <w:start w:val="1"/>
      <w:numFmt w:val="decimal"/>
      <w:lvlText w:val="%1."/>
      <w:lvlJc w:val="left"/>
      <w:pPr>
        <w:ind w:left="335"/>
      </w:pPr>
      <w:rPr>
        <w:rFonts w:ascii="Century Schoolbook" w:eastAsia="Century Schoolbook" w:hAnsi="Century Schoolbook" w:cs="Century Schoolbook"/>
        <w:b w:val="0"/>
        <w:i/>
        <w:iCs/>
        <w:strike w:val="0"/>
        <w:dstrike w:val="0"/>
        <w:color w:val="000000"/>
        <w:sz w:val="24"/>
        <w:szCs w:val="24"/>
        <w:u w:val="none" w:color="000000"/>
        <w:bdr w:val="none" w:sz="0" w:space="0" w:color="auto"/>
        <w:shd w:val="clear" w:color="auto" w:fill="auto"/>
        <w:vertAlign w:val="baseline"/>
      </w:rPr>
    </w:lvl>
    <w:lvl w:ilvl="1" w:tplc="D6BA3E0E">
      <w:start w:val="1"/>
      <w:numFmt w:val="lowerLetter"/>
      <w:lvlText w:val="%2"/>
      <w:lvlJc w:val="left"/>
      <w:pPr>
        <w:ind w:left="1080"/>
      </w:pPr>
      <w:rPr>
        <w:rFonts w:ascii="Century Schoolbook" w:eastAsia="Century Schoolbook" w:hAnsi="Century Schoolbook" w:cs="Century Schoolbook"/>
        <w:b w:val="0"/>
        <w:i/>
        <w:iCs/>
        <w:strike w:val="0"/>
        <w:dstrike w:val="0"/>
        <w:color w:val="000000"/>
        <w:sz w:val="24"/>
        <w:szCs w:val="24"/>
        <w:u w:val="none" w:color="000000"/>
        <w:bdr w:val="none" w:sz="0" w:space="0" w:color="auto"/>
        <w:shd w:val="clear" w:color="auto" w:fill="auto"/>
        <w:vertAlign w:val="baseline"/>
      </w:rPr>
    </w:lvl>
    <w:lvl w:ilvl="2" w:tplc="06D46226">
      <w:start w:val="1"/>
      <w:numFmt w:val="lowerRoman"/>
      <w:lvlText w:val="%3"/>
      <w:lvlJc w:val="left"/>
      <w:pPr>
        <w:ind w:left="1800"/>
      </w:pPr>
      <w:rPr>
        <w:rFonts w:ascii="Century Schoolbook" w:eastAsia="Century Schoolbook" w:hAnsi="Century Schoolbook" w:cs="Century Schoolbook"/>
        <w:b w:val="0"/>
        <w:i/>
        <w:iCs/>
        <w:strike w:val="0"/>
        <w:dstrike w:val="0"/>
        <w:color w:val="000000"/>
        <w:sz w:val="24"/>
        <w:szCs w:val="24"/>
        <w:u w:val="none" w:color="000000"/>
        <w:bdr w:val="none" w:sz="0" w:space="0" w:color="auto"/>
        <w:shd w:val="clear" w:color="auto" w:fill="auto"/>
        <w:vertAlign w:val="baseline"/>
      </w:rPr>
    </w:lvl>
    <w:lvl w:ilvl="3" w:tplc="E9E6A98C">
      <w:start w:val="1"/>
      <w:numFmt w:val="decimal"/>
      <w:lvlText w:val="%4"/>
      <w:lvlJc w:val="left"/>
      <w:pPr>
        <w:ind w:left="2520"/>
      </w:pPr>
      <w:rPr>
        <w:rFonts w:ascii="Century Schoolbook" w:eastAsia="Century Schoolbook" w:hAnsi="Century Schoolbook" w:cs="Century Schoolbook"/>
        <w:b w:val="0"/>
        <w:i/>
        <w:iCs/>
        <w:strike w:val="0"/>
        <w:dstrike w:val="0"/>
        <w:color w:val="000000"/>
        <w:sz w:val="24"/>
        <w:szCs w:val="24"/>
        <w:u w:val="none" w:color="000000"/>
        <w:bdr w:val="none" w:sz="0" w:space="0" w:color="auto"/>
        <w:shd w:val="clear" w:color="auto" w:fill="auto"/>
        <w:vertAlign w:val="baseline"/>
      </w:rPr>
    </w:lvl>
    <w:lvl w:ilvl="4" w:tplc="CA78F666">
      <w:start w:val="1"/>
      <w:numFmt w:val="lowerLetter"/>
      <w:lvlText w:val="%5"/>
      <w:lvlJc w:val="left"/>
      <w:pPr>
        <w:ind w:left="3240"/>
      </w:pPr>
      <w:rPr>
        <w:rFonts w:ascii="Century Schoolbook" w:eastAsia="Century Schoolbook" w:hAnsi="Century Schoolbook" w:cs="Century Schoolbook"/>
        <w:b w:val="0"/>
        <w:i/>
        <w:iCs/>
        <w:strike w:val="0"/>
        <w:dstrike w:val="0"/>
        <w:color w:val="000000"/>
        <w:sz w:val="24"/>
        <w:szCs w:val="24"/>
        <w:u w:val="none" w:color="000000"/>
        <w:bdr w:val="none" w:sz="0" w:space="0" w:color="auto"/>
        <w:shd w:val="clear" w:color="auto" w:fill="auto"/>
        <w:vertAlign w:val="baseline"/>
      </w:rPr>
    </w:lvl>
    <w:lvl w:ilvl="5" w:tplc="4E88375A">
      <w:start w:val="1"/>
      <w:numFmt w:val="lowerRoman"/>
      <w:lvlText w:val="%6"/>
      <w:lvlJc w:val="left"/>
      <w:pPr>
        <w:ind w:left="3960"/>
      </w:pPr>
      <w:rPr>
        <w:rFonts w:ascii="Century Schoolbook" w:eastAsia="Century Schoolbook" w:hAnsi="Century Schoolbook" w:cs="Century Schoolbook"/>
        <w:b w:val="0"/>
        <w:i/>
        <w:iCs/>
        <w:strike w:val="0"/>
        <w:dstrike w:val="0"/>
        <w:color w:val="000000"/>
        <w:sz w:val="24"/>
        <w:szCs w:val="24"/>
        <w:u w:val="none" w:color="000000"/>
        <w:bdr w:val="none" w:sz="0" w:space="0" w:color="auto"/>
        <w:shd w:val="clear" w:color="auto" w:fill="auto"/>
        <w:vertAlign w:val="baseline"/>
      </w:rPr>
    </w:lvl>
    <w:lvl w:ilvl="6" w:tplc="D898D874">
      <w:start w:val="1"/>
      <w:numFmt w:val="decimal"/>
      <w:lvlText w:val="%7"/>
      <w:lvlJc w:val="left"/>
      <w:pPr>
        <w:ind w:left="4680"/>
      </w:pPr>
      <w:rPr>
        <w:rFonts w:ascii="Century Schoolbook" w:eastAsia="Century Schoolbook" w:hAnsi="Century Schoolbook" w:cs="Century Schoolbook"/>
        <w:b w:val="0"/>
        <w:i/>
        <w:iCs/>
        <w:strike w:val="0"/>
        <w:dstrike w:val="0"/>
        <w:color w:val="000000"/>
        <w:sz w:val="24"/>
        <w:szCs w:val="24"/>
        <w:u w:val="none" w:color="000000"/>
        <w:bdr w:val="none" w:sz="0" w:space="0" w:color="auto"/>
        <w:shd w:val="clear" w:color="auto" w:fill="auto"/>
        <w:vertAlign w:val="baseline"/>
      </w:rPr>
    </w:lvl>
    <w:lvl w:ilvl="7" w:tplc="96E8BFAA">
      <w:start w:val="1"/>
      <w:numFmt w:val="lowerLetter"/>
      <w:lvlText w:val="%8"/>
      <w:lvlJc w:val="left"/>
      <w:pPr>
        <w:ind w:left="5400"/>
      </w:pPr>
      <w:rPr>
        <w:rFonts w:ascii="Century Schoolbook" w:eastAsia="Century Schoolbook" w:hAnsi="Century Schoolbook" w:cs="Century Schoolbook"/>
        <w:b w:val="0"/>
        <w:i/>
        <w:iCs/>
        <w:strike w:val="0"/>
        <w:dstrike w:val="0"/>
        <w:color w:val="000000"/>
        <w:sz w:val="24"/>
        <w:szCs w:val="24"/>
        <w:u w:val="none" w:color="000000"/>
        <w:bdr w:val="none" w:sz="0" w:space="0" w:color="auto"/>
        <w:shd w:val="clear" w:color="auto" w:fill="auto"/>
        <w:vertAlign w:val="baseline"/>
      </w:rPr>
    </w:lvl>
    <w:lvl w:ilvl="8" w:tplc="61BE543A">
      <w:start w:val="1"/>
      <w:numFmt w:val="lowerRoman"/>
      <w:lvlText w:val="%9"/>
      <w:lvlJc w:val="left"/>
      <w:pPr>
        <w:ind w:left="6120"/>
      </w:pPr>
      <w:rPr>
        <w:rFonts w:ascii="Century Schoolbook" w:eastAsia="Century Schoolbook" w:hAnsi="Century Schoolbook" w:cs="Century Schoolbook"/>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AD3ABF"/>
    <w:multiLevelType w:val="hybridMultilevel"/>
    <w:tmpl w:val="F96E9288"/>
    <w:lvl w:ilvl="0" w:tplc="00F4E7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F6EE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429D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9CDD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0603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5CC7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FE6F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50FB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04F6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EBB77DF"/>
    <w:multiLevelType w:val="hybridMultilevel"/>
    <w:tmpl w:val="D8166B12"/>
    <w:lvl w:ilvl="0" w:tplc="FCF83C60">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B2C619A">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78E9CB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5DA43FA">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66611A8">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A0EAC88">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7FCE1EC">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2C44002">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24036D2">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ED"/>
    <w:rsid w:val="00163023"/>
    <w:rsid w:val="003578CD"/>
    <w:rsid w:val="00403418"/>
    <w:rsid w:val="005C04F0"/>
    <w:rsid w:val="00657C63"/>
    <w:rsid w:val="00790E2D"/>
    <w:rsid w:val="008D05ED"/>
    <w:rsid w:val="009876E2"/>
    <w:rsid w:val="00B47560"/>
    <w:rsid w:val="00C23D5F"/>
    <w:rsid w:val="00C8422C"/>
    <w:rsid w:val="00EE30D4"/>
    <w:rsid w:val="00F84C69"/>
    <w:rsid w:val="00F92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88CAE"/>
  <w15:chartTrackingRefBased/>
  <w15:docId w15:val="{0E98EBAB-5D2A-4825-B9E8-57108480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ED"/>
    <w:pPr>
      <w:spacing w:after="0" w:line="480" w:lineRule="auto"/>
      <w:ind w:firstLine="720"/>
    </w:pPr>
    <w:rPr>
      <w:rFonts w:eastAsiaTheme="minorEastAsia"/>
      <w:kern w:val="24"/>
      <w:sz w:val="24"/>
      <w:szCs w:val="24"/>
      <w:lang w:eastAsia="ja-JP"/>
    </w:rPr>
  </w:style>
  <w:style w:type="paragraph" w:styleId="Heading1">
    <w:name w:val="heading 1"/>
    <w:basedOn w:val="Normal"/>
    <w:next w:val="Normal"/>
    <w:link w:val="Heading1Char"/>
    <w:uiPriority w:val="9"/>
    <w:qFormat/>
    <w:rsid w:val="009876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rsid w:val="008D05ED"/>
    <w:pPr>
      <w:pageBreakBefore/>
      <w:ind w:firstLine="0"/>
      <w:jc w:val="center"/>
      <w:outlineLvl w:val="0"/>
    </w:pPr>
    <w:rPr>
      <w:rFonts w:asciiTheme="majorHAnsi" w:eastAsiaTheme="majorEastAsia" w:hAnsiTheme="majorHAnsi" w:cstheme="majorBidi"/>
    </w:rPr>
  </w:style>
  <w:style w:type="paragraph" w:styleId="Title">
    <w:name w:val="Title"/>
    <w:basedOn w:val="Normal"/>
    <w:link w:val="TitleChar"/>
    <w:qFormat/>
    <w:rsid w:val="008D05ED"/>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D05ED"/>
    <w:rPr>
      <w:rFonts w:asciiTheme="majorHAnsi" w:eastAsiaTheme="majorEastAsia" w:hAnsiTheme="majorHAnsi" w:cstheme="majorBidi"/>
      <w:kern w:val="24"/>
      <w:sz w:val="24"/>
      <w:szCs w:val="24"/>
      <w:lang w:eastAsia="ja-JP"/>
    </w:rPr>
  </w:style>
  <w:style w:type="paragraph" w:customStyle="1" w:styleId="Title2">
    <w:name w:val="Title 2"/>
    <w:basedOn w:val="Normal"/>
    <w:uiPriority w:val="1"/>
    <w:qFormat/>
    <w:rsid w:val="008D05ED"/>
    <w:pPr>
      <w:ind w:firstLine="0"/>
      <w:jc w:val="center"/>
    </w:pPr>
  </w:style>
  <w:style w:type="paragraph" w:styleId="Header">
    <w:name w:val="header"/>
    <w:basedOn w:val="Normal"/>
    <w:link w:val="HeaderChar"/>
    <w:uiPriority w:val="99"/>
    <w:unhideWhenUsed/>
    <w:rsid w:val="008D05ED"/>
    <w:pPr>
      <w:tabs>
        <w:tab w:val="center" w:pos="4680"/>
        <w:tab w:val="right" w:pos="9360"/>
      </w:tabs>
      <w:spacing w:line="240" w:lineRule="auto"/>
    </w:pPr>
  </w:style>
  <w:style w:type="character" w:customStyle="1" w:styleId="HeaderChar">
    <w:name w:val="Header Char"/>
    <w:basedOn w:val="DefaultParagraphFont"/>
    <w:link w:val="Header"/>
    <w:uiPriority w:val="99"/>
    <w:rsid w:val="008D05ED"/>
    <w:rPr>
      <w:rFonts w:eastAsiaTheme="minorEastAsia"/>
      <w:kern w:val="24"/>
      <w:sz w:val="24"/>
      <w:szCs w:val="24"/>
      <w:lang w:eastAsia="ja-JP"/>
    </w:rPr>
  </w:style>
  <w:style w:type="paragraph" w:styleId="Footer">
    <w:name w:val="footer"/>
    <w:basedOn w:val="Normal"/>
    <w:link w:val="FooterChar"/>
    <w:uiPriority w:val="99"/>
    <w:unhideWhenUsed/>
    <w:rsid w:val="008D05ED"/>
    <w:pPr>
      <w:tabs>
        <w:tab w:val="center" w:pos="4680"/>
        <w:tab w:val="right" w:pos="9360"/>
      </w:tabs>
      <w:spacing w:line="240" w:lineRule="auto"/>
    </w:pPr>
  </w:style>
  <w:style w:type="character" w:customStyle="1" w:styleId="FooterChar">
    <w:name w:val="Footer Char"/>
    <w:basedOn w:val="DefaultParagraphFont"/>
    <w:link w:val="Footer"/>
    <w:uiPriority w:val="99"/>
    <w:rsid w:val="008D05ED"/>
    <w:rPr>
      <w:rFonts w:eastAsiaTheme="minorEastAsia"/>
      <w:kern w:val="24"/>
      <w:sz w:val="24"/>
      <w:szCs w:val="24"/>
      <w:lang w:eastAsia="ja-JP"/>
    </w:rPr>
  </w:style>
  <w:style w:type="character" w:customStyle="1" w:styleId="Heading1Char">
    <w:name w:val="Heading 1 Char"/>
    <w:basedOn w:val="DefaultParagraphFont"/>
    <w:link w:val="Heading1"/>
    <w:uiPriority w:val="9"/>
    <w:rsid w:val="009876E2"/>
    <w:rPr>
      <w:rFonts w:asciiTheme="majorHAnsi" w:eastAsiaTheme="majorEastAsia" w:hAnsiTheme="majorHAnsi" w:cstheme="majorBidi"/>
      <w:color w:val="2F5496" w:themeColor="accent1" w:themeShade="BF"/>
      <w:kern w:val="24"/>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2B5BD7B7C24FCB8E1FA65D5DE84DF7"/>
        <w:category>
          <w:name w:val="General"/>
          <w:gallery w:val="placeholder"/>
        </w:category>
        <w:types>
          <w:type w:val="bbPlcHdr"/>
        </w:types>
        <w:behaviors>
          <w:behavior w:val="content"/>
        </w:behaviors>
        <w:guid w:val="{E8E91A82-6365-40C2-BC83-E047603A462F}"/>
      </w:docPartPr>
      <w:docPartBody>
        <w:p w:rsidR="00E432A7" w:rsidRDefault="000B20BB" w:rsidP="000B20BB">
          <w:pPr>
            <w:pStyle w:val="102B5BD7B7C24FCB8E1FA65D5DE84DF7"/>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BB"/>
    <w:rsid w:val="000B20BB"/>
    <w:rsid w:val="006805E0"/>
    <w:rsid w:val="00E432A7"/>
    <w:rsid w:val="00F7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B5BD7B7C24FCB8E1FA65D5DE84DF7">
    <w:name w:val="102B5BD7B7C24FCB8E1FA65D5DE84DF7"/>
    <w:rsid w:val="000B2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DRAFT,  Portion of Middletown Energy Plan, based on Rutgers Plan of August 2010</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Portion of Middletown Energy Plan, based on Rutgers Plan of August 2010</dc:title>
  <dc:subject/>
  <dc:creator>John Luard</dc:creator>
  <cp:keywords/>
  <dc:description/>
  <cp:lastModifiedBy>John Luard</cp:lastModifiedBy>
  <cp:revision>5</cp:revision>
  <dcterms:created xsi:type="dcterms:W3CDTF">2019-07-11T18:33:00Z</dcterms:created>
  <dcterms:modified xsi:type="dcterms:W3CDTF">2019-07-12T21:02:00Z</dcterms:modified>
</cp:coreProperties>
</file>